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D60" w:rsidRPr="00827D60" w:rsidRDefault="00827D60" w:rsidP="00827D6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7D60" w:rsidRDefault="00827D60" w:rsidP="00827D6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D60">
        <w:rPr>
          <w:rFonts w:ascii="Times New Roman" w:hAnsi="Times New Roman" w:cs="Times New Roman"/>
          <w:b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27D60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827D6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827D60" w:rsidRPr="00827D60" w:rsidRDefault="00827D60" w:rsidP="00827D6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D60">
        <w:rPr>
          <w:rFonts w:ascii="Times New Roman" w:hAnsi="Times New Roman" w:cs="Times New Roman"/>
          <w:b/>
          <w:sz w:val="28"/>
          <w:szCs w:val="28"/>
        </w:rPr>
        <w:t>«Развитие гражданского общества Нижневартовского района</w:t>
      </w:r>
    </w:p>
    <w:p w:rsidR="00827D60" w:rsidRPr="00827D60" w:rsidRDefault="00827D60" w:rsidP="00827D6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D60">
        <w:rPr>
          <w:rFonts w:ascii="Times New Roman" w:hAnsi="Times New Roman" w:cs="Times New Roman"/>
          <w:b/>
          <w:sz w:val="28"/>
          <w:szCs w:val="28"/>
        </w:rPr>
        <w:t>на 2018–2025 годы и на период до 2030 года»</w:t>
      </w:r>
    </w:p>
    <w:p w:rsidR="00827D60" w:rsidRPr="00827D60" w:rsidRDefault="00827D60" w:rsidP="00827D6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D60" w:rsidRPr="00827D60" w:rsidRDefault="00827D60" w:rsidP="00827D6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10061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3757"/>
        <w:gridCol w:w="6304"/>
      </w:tblGrid>
      <w:tr w:rsidR="00827D60" w:rsidRPr="00827D60" w:rsidTr="00387F55">
        <w:trPr>
          <w:trHeight w:val="240"/>
          <w:jc w:val="center"/>
        </w:trPr>
        <w:tc>
          <w:tcPr>
            <w:tcW w:w="3757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proofErr w:type="gramEnd"/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4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гражданского общества Нижневартовского района на 2018–2025 годы и на период до 2030 года» 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D60" w:rsidRPr="00827D60" w:rsidTr="00387F55">
        <w:trPr>
          <w:trHeight w:val="240"/>
          <w:jc w:val="center"/>
        </w:trPr>
        <w:tc>
          <w:tcPr>
            <w:tcW w:w="3757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4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управление организации деятельности администрации района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D60" w:rsidRPr="00827D60" w:rsidTr="00387F55">
        <w:trPr>
          <w:trHeight w:val="240"/>
          <w:jc w:val="center"/>
        </w:trPr>
        <w:tc>
          <w:tcPr>
            <w:tcW w:w="3757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04" w:type="dxa"/>
            <w:tcMar>
              <w:left w:w="170" w:type="dxa"/>
              <w:right w:w="170" w:type="dxa"/>
            </w:tcMar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«Учреждение по материально-техническому обеспечению деятельности органов местного самоуправления»;</w:t>
            </w:r>
          </w:p>
          <w:p w:rsidR="00827D60" w:rsidRPr="00827D60" w:rsidRDefault="00827D60" w:rsidP="00827D6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«Редакция районной газеты «Новости Приобья»;</w:t>
            </w:r>
          </w:p>
          <w:p w:rsidR="00827D60" w:rsidRPr="00827D60" w:rsidRDefault="00827D60" w:rsidP="00827D6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«Телевидение Нижневартовского района»;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социальной сферы администрации района;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управление правового обеспечения и организации местного самоуправления администрации района;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района;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района;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управление учета и отчетности администрации района;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отдел по информатизации и сетевым ресурсам администрации района;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пресс-служба администрации района;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архивный</w:t>
            </w:r>
            <w:proofErr w:type="gramEnd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 отдел администрации района;</w:t>
            </w:r>
          </w:p>
          <w:p w:rsidR="00827D60" w:rsidRPr="00827D60" w:rsidRDefault="00827D60" w:rsidP="00827D6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Нижневартовского района «Управление имущественными и земельными ресурсами»;</w:t>
            </w:r>
          </w:p>
          <w:p w:rsidR="00827D60" w:rsidRPr="00827D60" w:rsidRDefault="00827D60" w:rsidP="00827D6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униципальное автономное</w:t>
            </w:r>
            <w:proofErr w:type="gramEnd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районный комплексный молодежный центр «Луч»;</w:t>
            </w:r>
          </w:p>
          <w:p w:rsidR="00827D60" w:rsidRPr="00827D60" w:rsidRDefault="00827D60" w:rsidP="00827D6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827D6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муниципальное бюджетное учреждение дополнительного образования «Районный центр </w:t>
            </w:r>
            <w:r w:rsidRPr="00827D6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>творчества детей и молодежи «Спектр»;</w:t>
            </w:r>
          </w:p>
          <w:p w:rsidR="00827D60" w:rsidRPr="00827D60" w:rsidRDefault="00827D60" w:rsidP="00827D6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Территориальная избирательная комиссия Нижневартовского района (по согласованию);</w:t>
            </w:r>
          </w:p>
          <w:p w:rsidR="00827D60" w:rsidRPr="00827D60" w:rsidRDefault="00827D60" w:rsidP="00827D6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 и сельских поселений района (по согласованию);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городского поселения Излучинск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D60" w:rsidRPr="00827D60" w:rsidTr="00387F55">
        <w:trPr>
          <w:trHeight w:val="240"/>
          <w:jc w:val="center"/>
        </w:trPr>
        <w:tc>
          <w:tcPr>
            <w:tcW w:w="3757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</w:t>
            </w: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4" w:type="dxa"/>
            <w:tcMar>
              <w:left w:w="170" w:type="dxa"/>
              <w:right w:w="170" w:type="dxa"/>
            </w:tcMar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развитие гражданского общества через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 и активной гражданской позиции, ответственного отношения к участию в избирательных кампаниях;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бесперебойного функционирования органов местного самоуправления;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свободного и оперативного доступа граждан к информации посредством издания печатных средств массовой информации и телевещания 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D60" w:rsidRPr="00827D60" w:rsidTr="00387F55">
        <w:trPr>
          <w:trHeight w:val="240"/>
          <w:jc w:val="center"/>
        </w:trPr>
        <w:tc>
          <w:tcPr>
            <w:tcW w:w="3757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04" w:type="dxa"/>
            <w:tcMar>
              <w:left w:w="170" w:type="dxa"/>
              <w:right w:w="170" w:type="dxa"/>
            </w:tcMar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осуществления деятельности социально ориентированных некоммерческих организаций и активной гражданской позиции, ответственного отношения к участию в избирательных кампаниях;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 деятельности органов местного самоуправления;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средств массовой информации Нижневартовского района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D60" w:rsidRPr="00827D60" w:rsidTr="00387F55">
        <w:trPr>
          <w:trHeight w:val="240"/>
          <w:jc w:val="center"/>
        </w:trPr>
        <w:tc>
          <w:tcPr>
            <w:tcW w:w="3757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Подпрограммы и (или) основные мероприятия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4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Подпрограмма 1. «Поддержка социально ориентированных некоммерческих организаций»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2. «Осуществление материально-технического </w:t>
            </w: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обеспечения деятельности органов местного самоуправления</w:t>
            </w:r>
            <w:proofErr w:type="gramEnd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Подпрограмма 3.«П</w:t>
            </w:r>
            <w:r w:rsidRPr="00827D6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оддержка средств массовой информации»</w:t>
            </w:r>
          </w:p>
          <w:p w:rsidR="00827D60" w:rsidRPr="00827D60" w:rsidRDefault="00827D60" w:rsidP="00827D60">
            <w:pPr>
              <w:spacing w:line="240" w:lineRule="auto"/>
              <w:ind w:firstLine="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D60" w:rsidRPr="00827D60" w:rsidTr="00387F55">
        <w:trPr>
          <w:trHeight w:val="240"/>
          <w:jc w:val="center"/>
        </w:trPr>
        <w:tc>
          <w:tcPr>
            <w:tcW w:w="3757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304" w:type="dxa"/>
            <w:tcMar>
              <w:left w:w="170" w:type="dxa"/>
              <w:right w:w="170" w:type="dxa"/>
            </w:tcMar>
          </w:tcPr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социально ориентированных некоммерческих организаций, </w:t>
            </w:r>
            <w:r w:rsidRPr="00827D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осуществляющих свою деятельность на территории района, получивших финансовую поддержку на реализацию общественно значимых проектов, ‒ с 9 до 10 единиц, имущественную поддержку, − с 10 до 11 единиц, информационную поддержку, − с 4 до 5 единиц, консультационную поддержку, − с 23 до 24 единиц;</w:t>
            </w:r>
            <w:proofErr w:type="gramEnd"/>
          </w:p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проведенных мероприятий по повышению правовой культуры избирателей ‒с 95 до 105 единиц;</w:t>
            </w:r>
          </w:p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заключенных контрактов (договоров) на предоставление услуг и работ </w:t>
            </w:r>
            <w:r w:rsidRPr="00827D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организацию хозяйственного обеспечения деятельности, содержание материально-технической базы органов местного самоуправления (штук) −                 от 165 до 170 шт.;</w:t>
            </w:r>
          </w:p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количество печатных страниц (штук) −до 2 216 шт.;</w:t>
            </w:r>
          </w:p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объем тиража (печатный лист) −                                  до 1 018 800 п.л.;</w:t>
            </w:r>
          </w:p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количество телепередач (час) – 468 ч.;</w:t>
            </w:r>
          </w:p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проводимых социально ориентированными некоммерческими организациями социально значимых мероприятий ‒ с 40 до 50 единиц; </w:t>
            </w:r>
          </w:p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населения качеством выполняемых работ по обеспечению жителей района информационным обслуживанием –                  до 100%;</w:t>
            </w:r>
          </w:p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эффективность расходования бюджетных средств – 100%.</w:t>
            </w:r>
          </w:p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D60" w:rsidRPr="00827D60" w:rsidTr="00387F55">
        <w:trPr>
          <w:trHeight w:val="240"/>
          <w:jc w:val="center"/>
        </w:trPr>
        <w:tc>
          <w:tcPr>
            <w:tcW w:w="3757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4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2018–2025 годы и на период до 2030 года</w:t>
            </w:r>
          </w:p>
        </w:tc>
      </w:tr>
      <w:tr w:rsidR="00827D60" w:rsidRPr="00827D60" w:rsidTr="00387F55">
        <w:trPr>
          <w:trHeight w:val="639"/>
          <w:jc w:val="center"/>
        </w:trPr>
        <w:tc>
          <w:tcPr>
            <w:tcW w:w="3757" w:type="dxa"/>
          </w:tcPr>
          <w:p w:rsidR="00827D60" w:rsidRPr="00827D60" w:rsidRDefault="00827D60" w:rsidP="00827D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04" w:type="dxa"/>
          </w:tcPr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>определить общий объем финансирования муниципальной программы за счет средств бюджета района на 2018 – 2025 годы и на период до 2030 года – 2 105 428,7 тыс. рублей, в том числе на 2018 год – 161 899,1 тыс. рублей, 2019 год – 161 960,8 тыс. рублей, 2020 год – 161 960,8 тыс. рублей, 2021 год – 161 960,8 тыс. рублей, 2022 год – 161 960,8 тыс. рублей</w:t>
            </w:r>
            <w:proofErr w:type="gramEnd"/>
            <w:r w:rsidRPr="00827D60">
              <w:rPr>
                <w:rFonts w:ascii="Times New Roman" w:hAnsi="Times New Roman" w:cs="Times New Roman"/>
                <w:sz w:val="28"/>
                <w:szCs w:val="28"/>
              </w:rPr>
              <w:t xml:space="preserve">, 2023 год – 161 960,8 тыс. рублей, 2024 год – 161 960,8 тыс. рублей, 2025 год </w:t>
            </w:r>
            <w:r w:rsidRPr="00827D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161 960,8 тыс. рублей, 2026-2030 года – 809 804,0 тыс. рублей.</w:t>
            </w:r>
          </w:p>
          <w:p w:rsidR="00827D60" w:rsidRPr="00827D60" w:rsidRDefault="00827D60" w:rsidP="00827D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4E33" w:rsidRPr="00827D60" w:rsidRDefault="00FF4E33" w:rsidP="00827D6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827D60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1D5797"/>
    <w:rsid w:val="002211EC"/>
    <w:rsid w:val="002D0BA7"/>
    <w:rsid w:val="003774AF"/>
    <w:rsid w:val="00827D60"/>
    <w:rsid w:val="008955B9"/>
    <w:rsid w:val="00AC0874"/>
    <w:rsid w:val="00BA59E9"/>
    <w:rsid w:val="00F84CF6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cp:lastPrinted>2017-08-13T12:35:00Z</cp:lastPrinted>
  <dcterms:created xsi:type="dcterms:W3CDTF">2017-10-30T12:51:00Z</dcterms:created>
  <dcterms:modified xsi:type="dcterms:W3CDTF">2017-10-30T12:51:00Z</dcterms:modified>
</cp:coreProperties>
</file>